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41E8" w14:textId="7603F424" w:rsidR="00E95070" w:rsidRPr="00A61B79" w:rsidRDefault="002C21F8">
      <w:pPr>
        <w:rPr>
          <w:rFonts w:asciiTheme="minorEastAsia" w:hAnsiTheme="minorEastAsia"/>
          <w:b/>
          <w:bCs/>
          <w:sz w:val="24"/>
          <w:szCs w:val="28"/>
          <w:shd w:val="clear" w:color="auto" w:fill="E7E6E6" w:themeFill="background2"/>
        </w:rPr>
      </w:pPr>
      <w:r w:rsidRPr="00A61B79">
        <w:rPr>
          <w:rFonts w:asciiTheme="minorEastAsia" w:hAnsiTheme="minorEastAsia" w:hint="eastAsia"/>
          <w:b/>
          <w:bCs/>
          <w:sz w:val="24"/>
          <w:szCs w:val="28"/>
        </w:rPr>
        <w:t>特定臨床研究</w:t>
      </w:r>
    </w:p>
    <w:tbl>
      <w:tblPr>
        <w:tblStyle w:val="a3"/>
        <w:tblpPr w:leftFromText="142" w:rightFromText="142" w:vertAnchor="text" w:horzAnchor="margin" w:tblpY="7"/>
        <w:tblW w:w="10201" w:type="dxa"/>
        <w:tblLook w:val="04A0" w:firstRow="1" w:lastRow="0" w:firstColumn="1" w:lastColumn="0" w:noHBand="0" w:noVBand="1"/>
      </w:tblPr>
      <w:tblGrid>
        <w:gridCol w:w="562"/>
        <w:gridCol w:w="9639"/>
      </w:tblGrid>
      <w:tr w:rsidR="002C21F8" w:rsidRPr="00A61B79" w14:paraId="63EC3D42" w14:textId="77777777" w:rsidTr="00A61B79">
        <w:tc>
          <w:tcPr>
            <w:tcW w:w="562" w:type="dxa"/>
            <w:shd w:val="clear" w:color="auto" w:fill="E7E6E6" w:themeFill="background2"/>
          </w:tcPr>
          <w:p w14:paraId="7306D991" w14:textId="77777777" w:rsidR="002C21F8" w:rsidRPr="00A61B79" w:rsidRDefault="002C21F8" w:rsidP="002C21F8">
            <w:pPr>
              <w:jc w:val="center"/>
              <w:rPr>
                <w:rFonts w:asciiTheme="minorEastAsia" w:hAnsiTheme="minorEastAsia"/>
                <w:b/>
                <w:bCs/>
                <w:shd w:val="clear" w:color="auto" w:fill="E7E6E6" w:themeFill="background2"/>
              </w:rPr>
            </w:pPr>
          </w:p>
        </w:tc>
        <w:tc>
          <w:tcPr>
            <w:tcW w:w="9639" w:type="dxa"/>
            <w:shd w:val="clear" w:color="auto" w:fill="E7E6E6" w:themeFill="background2"/>
          </w:tcPr>
          <w:p w14:paraId="68D58F6D" w14:textId="77777777" w:rsidR="002C21F8" w:rsidRPr="00A61B79" w:rsidRDefault="002C21F8" w:rsidP="002C21F8">
            <w:pPr>
              <w:jc w:val="center"/>
              <w:rPr>
                <w:rFonts w:asciiTheme="minorEastAsia" w:hAnsiTheme="minorEastAsia"/>
                <w:b/>
                <w:bCs/>
                <w:shd w:val="clear" w:color="auto" w:fill="E7E6E6" w:themeFill="background2"/>
              </w:rPr>
            </w:pPr>
            <w:r w:rsidRPr="00A61B79">
              <w:rPr>
                <w:rFonts w:asciiTheme="minorEastAsia" w:hAnsiTheme="minorEastAsia" w:hint="eastAsia"/>
                <w:b/>
                <w:bCs/>
                <w:shd w:val="clear" w:color="auto" w:fill="E7E6E6" w:themeFill="background2"/>
              </w:rPr>
              <w:t>研究課題名</w:t>
            </w:r>
          </w:p>
        </w:tc>
      </w:tr>
      <w:tr w:rsidR="002C21F8" w:rsidRPr="00A61B79" w14:paraId="03B99075" w14:textId="77777777" w:rsidTr="00A61B79">
        <w:trPr>
          <w:trHeight w:val="1319"/>
        </w:trPr>
        <w:tc>
          <w:tcPr>
            <w:tcW w:w="562" w:type="dxa"/>
            <w:vAlign w:val="center"/>
          </w:tcPr>
          <w:p w14:paraId="78F7060F" w14:textId="77777777" w:rsidR="002C21F8" w:rsidRPr="00A61B79" w:rsidRDefault="002C21F8" w:rsidP="002C21F8">
            <w:pPr>
              <w:jc w:val="center"/>
              <w:rPr>
                <w:rFonts w:asciiTheme="minorEastAsia" w:hAnsiTheme="minorEastAsia"/>
              </w:rPr>
            </w:pPr>
            <w:r w:rsidRPr="00A61B79">
              <w:rPr>
                <w:rFonts w:asciiTheme="minorEastAsia" w:hAnsiTheme="minorEastAsia" w:hint="eastAsia"/>
              </w:rPr>
              <w:t>１</w:t>
            </w:r>
          </w:p>
        </w:tc>
        <w:tc>
          <w:tcPr>
            <w:tcW w:w="9639" w:type="dxa"/>
            <w:vAlign w:val="center"/>
          </w:tcPr>
          <w:p w14:paraId="37B05BAB" w14:textId="280F7011" w:rsidR="002C21F8" w:rsidRPr="00A61B79" w:rsidRDefault="002C21F8" w:rsidP="007F1CF5">
            <w:pPr>
              <w:rPr>
                <w:rFonts w:asciiTheme="minorEastAsia" w:hAnsiTheme="minorEastAsia"/>
              </w:rPr>
            </w:pPr>
            <w:r w:rsidRPr="00A61B79">
              <w:rPr>
                <w:rFonts w:asciiTheme="minorEastAsia" w:hAnsiTheme="minorEastAsia"/>
              </w:rPr>
              <w:t>RAS遺伝子（KRAS/NRAS遺伝子）野生型で化学療法未治療の切除不能進行再発大腸癌に対するmFOLFOX6 + ベバシズマブ併用療法とmFOLFOX6 +パニツムマブ併用療法の有効性及び安全性を比較する第Ⅲ相無作為化比較試験</w:t>
            </w:r>
            <w:r w:rsidR="00C53B2E" w:rsidRPr="00A61B79">
              <w:rPr>
                <w:rFonts w:asciiTheme="minorEastAsia" w:hAnsiTheme="minorEastAsia"/>
              </w:rPr>
              <w:t>（PARADIGM　study）</w:t>
            </w:r>
          </w:p>
        </w:tc>
      </w:tr>
      <w:tr w:rsidR="002C21F8" w:rsidRPr="00A61B79" w14:paraId="105E6CB0" w14:textId="77777777" w:rsidTr="00A61B79">
        <w:trPr>
          <w:trHeight w:val="1002"/>
        </w:trPr>
        <w:tc>
          <w:tcPr>
            <w:tcW w:w="562" w:type="dxa"/>
            <w:vAlign w:val="center"/>
          </w:tcPr>
          <w:p w14:paraId="00E78A1C" w14:textId="77777777" w:rsidR="002C21F8" w:rsidRPr="00A61B79" w:rsidRDefault="002C21F8" w:rsidP="002C21F8">
            <w:pPr>
              <w:jc w:val="center"/>
              <w:rPr>
                <w:rFonts w:asciiTheme="minorEastAsia" w:hAnsiTheme="minorEastAsia"/>
              </w:rPr>
            </w:pPr>
            <w:r w:rsidRPr="00A61B79">
              <w:rPr>
                <w:rFonts w:asciiTheme="minorEastAsia" w:hAnsiTheme="minorEastAsia" w:hint="eastAsia"/>
              </w:rPr>
              <w:t>２</w:t>
            </w:r>
          </w:p>
        </w:tc>
        <w:tc>
          <w:tcPr>
            <w:tcW w:w="9639" w:type="dxa"/>
            <w:vAlign w:val="center"/>
          </w:tcPr>
          <w:p w14:paraId="4DAA1117" w14:textId="6C6854E2" w:rsidR="002C21F8" w:rsidRPr="00A61B79" w:rsidRDefault="002C21F8" w:rsidP="007F1CF5">
            <w:pPr>
              <w:rPr>
                <w:rFonts w:asciiTheme="minorEastAsia" w:hAnsiTheme="minorEastAsia"/>
              </w:rPr>
            </w:pPr>
            <w:r w:rsidRPr="00A61B79">
              <w:rPr>
                <w:rFonts w:asciiTheme="minorEastAsia" w:hAnsiTheme="minorEastAsia"/>
              </w:rPr>
              <w:t>HER2陽性進行・再発胃癌に対するトラスツズマブBS「NK」とS-1+オキサリプラチン 併用療法もしくはカペシタビン+オキサリプラチン併用療法に関する第Ⅱ相臨床試験</w:t>
            </w:r>
            <w:r w:rsidR="00C53B2E" w:rsidRPr="00A61B79">
              <w:rPr>
                <w:rFonts w:asciiTheme="minorEastAsia" w:hAnsiTheme="minorEastAsia"/>
              </w:rPr>
              <w:t>（TROX　Study）</w:t>
            </w:r>
          </w:p>
        </w:tc>
      </w:tr>
      <w:tr w:rsidR="002C21F8" w:rsidRPr="00A61B79" w14:paraId="7437A0FC" w14:textId="77777777" w:rsidTr="00A61B79">
        <w:trPr>
          <w:trHeight w:val="822"/>
        </w:trPr>
        <w:tc>
          <w:tcPr>
            <w:tcW w:w="562" w:type="dxa"/>
            <w:vAlign w:val="center"/>
          </w:tcPr>
          <w:p w14:paraId="117C45E7" w14:textId="77777777" w:rsidR="002C21F8" w:rsidRPr="00A61B79" w:rsidRDefault="002C21F8" w:rsidP="002C21F8">
            <w:pPr>
              <w:jc w:val="center"/>
              <w:rPr>
                <w:rFonts w:asciiTheme="minorEastAsia" w:hAnsiTheme="minorEastAsia"/>
              </w:rPr>
            </w:pPr>
            <w:r w:rsidRPr="00A61B79">
              <w:rPr>
                <w:rFonts w:asciiTheme="minorEastAsia" w:hAnsiTheme="minorEastAsia" w:hint="eastAsia"/>
              </w:rPr>
              <w:t>３</w:t>
            </w:r>
          </w:p>
        </w:tc>
        <w:tc>
          <w:tcPr>
            <w:tcW w:w="9639" w:type="dxa"/>
            <w:vAlign w:val="center"/>
          </w:tcPr>
          <w:p w14:paraId="6792579A" w14:textId="47090435" w:rsidR="002C21F8" w:rsidRPr="00A61B79" w:rsidRDefault="002C21F8" w:rsidP="007F1CF5">
            <w:pPr>
              <w:rPr>
                <w:rFonts w:asciiTheme="minorEastAsia" w:hAnsiTheme="minorEastAsia"/>
              </w:rPr>
            </w:pPr>
            <w:r w:rsidRPr="00A61B79">
              <w:rPr>
                <w:rFonts w:asciiTheme="minorEastAsia" w:hAnsiTheme="minorEastAsia" w:hint="eastAsia"/>
              </w:rPr>
              <w:t>切除不能進行再発胃癌を対象としたニボルマブ早期導入の有効性と安全性を評価する単群</w:t>
            </w:r>
            <w:r w:rsidRPr="00A61B79">
              <w:rPr>
                <w:rFonts w:asciiTheme="minorEastAsia" w:hAnsiTheme="minorEastAsia"/>
              </w:rPr>
              <w:t>II相試験</w:t>
            </w:r>
            <w:r w:rsidR="00C53B2E" w:rsidRPr="00A61B79">
              <w:rPr>
                <w:rFonts w:asciiTheme="minorEastAsia" w:hAnsiTheme="minorEastAsia"/>
              </w:rPr>
              <w:t>（VOYAGER　Study）</w:t>
            </w:r>
          </w:p>
        </w:tc>
      </w:tr>
      <w:tr w:rsidR="002C21F8" w:rsidRPr="00A61B79" w14:paraId="511700E4" w14:textId="77777777" w:rsidTr="00A61B79">
        <w:trPr>
          <w:trHeight w:val="848"/>
        </w:trPr>
        <w:tc>
          <w:tcPr>
            <w:tcW w:w="562" w:type="dxa"/>
            <w:vAlign w:val="center"/>
          </w:tcPr>
          <w:p w14:paraId="1527CEEC" w14:textId="77777777" w:rsidR="002C21F8" w:rsidRPr="00A61B79" w:rsidRDefault="002C21F8" w:rsidP="002C21F8">
            <w:pPr>
              <w:jc w:val="center"/>
              <w:rPr>
                <w:rFonts w:asciiTheme="minorEastAsia" w:hAnsiTheme="minorEastAsia"/>
              </w:rPr>
            </w:pPr>
            <w:r w:rsidRPr="00A61B79">
              <w:rPr>
                <w:rFonts w:asciiTheme="minorEastAsia" w:hAnsiTheme="minorEastAsia" w:hint="eastAsia"/>
              </w:rPr>
              <w:t>４</w:t>
            </w:r>
          </w:p>
        </w:tc>
        <w:tc>
          <w:tcPr>
            <w:tcW w:w="9639" w:type="dxa"/>
            <w:vAlign w:val="center"/>
          </w:tcPr>
          <w:p w14:paraId="3339F273" w14:textId="772C1BE9" w:rsidR="002C21F8" w:rsidRPr="00A61B79" w:rsidRDefault="002C21F8" w:rsidP="007F1CF5">
            <w:pPr>
              <w:rPr>
                <w:rFonts w:asciiTheme="minorEastAsia" w:hAnsiTheme="minorEastAsia"/>
              </w:rPr>
            </w:pPr>
            <w:r w:rsidRPr="00A61B79">
              <w:rPr>
                <w:rFonts w:asciiTheme="minorEastAsia" w:hAnsiTheme="minorEastAsia"/>
              </w:rPr>
              <w:t>RAS遺伝子野生型切除不能進行・再発大腸癌における二次治療 FOLFIRI ＋ラムシルマブ併用療法の第Ⅱ相試験</w:t>
            </w:r>
            <w:r w:rsidR="00C53B2E" w:rsidRPr="00A61B79">
              <w:rPr>
                <w:rFonts w:asciiTheme="minorEastAsia" w:hAnsiTheme="minorEastAsia"/>
              </w:rPr>
              <w:t>（JACCRO　CC16）</w:t>
            </w:r>
          </w:p>
        </w:tc>
      </w:tr>
    </w:tbl>
    <w:p w14:paraId="2AA3E9BB" w14:textId="77777777" w:rsidR="002C21F8" w:rsidRPr="00A61B79" w:rsidRDefault="002C21F8" w:rsidP="00FF7E11">
      <w:pPr>
        <w:rPr>
          <w:rFonts w:asciiTheme="minorEastAsia" w:hAnsiTheme="minorEastAsia"/>
        </w:rPr>
      </w:pPr>
    </w:p>
    <w:p w14:paraId="64F5FFCF" w14:textId="29EDE4E1" w:rsidR="002C21F8" w:rsidRPr="00A61B79" w:rsidRDefault="00E95070" w:rsidP="002C21F8">
      <w:pPr>
        <w:ind w:left="235" w:hangingChars="100" w:hanging="235"/>
        <w:rPr>
          <w:rFonts w:asciiTheme="minorEastAsia" w:hAnsiTheme="minorEastAsia"/>
          <w:b/>
          <w:bCs/>
          <w:sz w:val="24"/>
          <w:szCs w:val="28"/>
        </w:rPr>
      </w:pPr>
      <w:r w:rsidRPr="00A61B79">
        <w:rPr>
          <w:rFonts w:asciiTheme="minorEastAsia" w:hAnsiTheme="minorEastAsia" w:hint="eastAsia"/>
          <w:b/>
          <w:bCs/>
          <w:sz w:val="24"/>
          <w:szCs w:val="28"/>
        </w:rPr>
        <w:t>臨床研究</w:t>
      </w:r>
    </w:p>
    <w:tbl>
      <w:tblPr>
        <w:tblStyle w:val="a3"/>
        <w:tblW w:w="10206" w:type="dxa"/>
        <w:tblInd w:w="-5" w:type="dxa"/>
        <w:tblLayout w:type="fixed"/>
        <w:tblLook w:val="04A0" w:firstRow="1" w:lastRow="0" w:firstColumn="1" w:lastColumn="0" w:noHBand="0" w:noVBand="1"/>
      </w:tblPr>
      <w:tblGrid>
        <w:gridCol w:w="567"/>
        <w:gridCol w:w="9639"/>
      </w:tblGrid>
      <w:tr w:rsidR="002C21F8" w:rsidRPr="00A61B79" w14:paraId="0081DE6D" w14:textId="77777777" w:rsidTr="00A61B79">
        <w:tc>
          <w:tcPr>
            <w:tcW w:w="567" w:type="dxa"/>
            <w:shd w:val="clear" w:color="auto" w:fill="E7E6E6" w:themeFill="background2"/>
          </w:tcPr>
          <w:p w14:paraId="6B418594" w14:textId="77777777" w:rsidR="002C21F8" w:rsidRPr="00A61B79" w:rsidRDefault="002C21F8" w:rsidP="002C21F8">
            <w:pPr>
              <w:jc w:val="center"/>
              <w:rPr>
                <w:rFonts w:asciiTheme="minorEastAsia" w:hAnsiTheme="minorEastAsia"/>
                <w:b/>
                <w:bCs/>
              </w:rPr>
            </w:pPr>
          </w:p>
        </w:tc>
        <w:tc>
          <w:tcPr>
            <w:tcW w:w="9639" w:type="dxa"/>
            <w:shd w:val="clear" w:color="auto" w:fill="E7E6E6" w:themeFill="background2"/>
          </w:tcPr>
          <w:p w14:paraId="16CAE362" w14:textId="6E5919D9" w:rsidR="002C21F8" w:rsidRPr="00A61B79" w:rsidRDefault="002C21F8" w:rsidP="002C21F8">
            <w:pPr>
              <w:jc w:val="center"/>
              <w:rPr>
                <w:rFonts w:asciiTheme="minorEastAsia" w:hAnsiTheme="minorEastAsia"/>
                <w:b/>
                <w:bCs/>
              </w:rPr>
            </w:pPr>
            <w:r w:rsidRPr="00A61B79">
              <w:rPr>
                <w:rFonts w:asciiTheme="minorEastAsia" w:hAnsiTheme="minorEastAsia" w:hint="eastAsia"/>
                <w:b/>
                <w:bCs/>
              </w:rPr>
              <w:t>研究課題名</w:t>
            </w:r>
          </w:p>
        </w:tc>
      </w:tr>
      <w:tr w:rsidR="002C21F8" w:rsidRPr="00A61B79" w14:paraId="2EA9883D" w14:textId="77777777" w:rsidTr="00A61B79">
        <w:trPr>
          <w:trHeight w:val="893"/>
        </w:trPr>
        <w:tc>
          <w:tcPr>
            <w:tcW w:w="567" w:type="dxa"/>
            <w:vAlign w:val="center"/>
          </w:tcPr>
          <w:p w14:paraId="7BB4F69A" w14:textId="10A4C1E8" w:rsidR="002C21F8" w:rsidRPr="00A61B79" w:rsidRDefault="002C21F8" w:rsidP="002C21F8">
            <w:pPr>
              <w:jc w:val="center"/>
              <w:rPr>
                <w:rFonts w:asciiTheme="minorEastAsia" w:hAnsiTheme="minorEastAsia"/>
              </w:rPr>
            </w:pPr>
            <w:r w:rsidRPr="00A61B79">
              <w:rPr>
                <w:rFonts w:asciiTheme="minorEastAsia" w:hAnsiTheme="minorEastAsia" w:hint="eastAsia"/>
              </w:rPr>
              <w:t>１</w:t>
            </w:r>
          </w:p>
        </w:tc>
        <w:tc>
          <w:tcPr>
            <w:tcW w:w="9639" w:type="dxa"/>
            <w:vAlign w:val="center"/>
          </w:tcPr>
          <w:p w14:paraId="113EBB71" w14:textId="60431BBF" w:rsidR="002C21F8" w:rsidRPr="00A61B79" w:rsidRDefault="002C21F8" w:rsidP="007F1CF5">
            <w:pPr>
              <w:rPr>
                <w:rFonts w:asciiTheme="minorEastAsia" w:hAnsiTheme="minorEastAsia"/>
                <w:szCs w:val="21"/>
              </w:rPr>
            </w:pPr>
            <w:r w:rsidRPr="00A61B79">
              <w:rPr>
                <w:rFonts w:asciiTheme="minorEastAsia" w:hAnsiTheme="minorEastAsia" w:hint="eastAsia"/>
                <w:szCs w:val="21"/>
              </w:rPr>
              <w:t>「</w:t>
            </w:r>
            <w:r w:rsidRPr="00A61B79">
              <w:rPr>
                <w:rFonts w:asciiTheme="minorEastAsia" w:hAnsiTheme="minorEastAsia"/>
                <w:szCs w:val="21"/>
              </w:rPr>
              <w:t xml:space="preserve">RAS 遺伝子野生型切除不能進行・再発大腸癌における二次治療FOLFIRI＋ラムシルマブ併用療法の第Ⅱ相試験（JACCRO CC-16）」におけるバイオマーカー研究　</w:t>
            </w:r>
            <w:r w:rsidR="00C53B2E" w:rsidRPr="00A61B79">
              <w:rPr>
                <w:rFonts w:asciiTheme="minorEastAsia" w:hAnsiTheme="minorEastAsia"/>
                <w:szCs w:val="21"/>
              </w:rPr>
              <w:t>（</w:t>
            </w:r>
            <w:r w:rsidRPr="00A61B79">
              <w:rPr>
                <w:rFonts w:asciiTheme="minorEastAsia" w:hAnsiTheme="minorEastAsia"/>
                <w:szCs w:val="21"/>
              </w:rPr>
              <w:t>JACCRO CC-16AR</w:t>
            </w:r>
            <w:r w:rsidR="00C53B2E" w:rsidRPr="00A61B79">
              <w:rPr>
                <w:rFonts w:asciiTheme="minorEastAsia" w:hAnsiTheme="minorEastAsia"/>
                <w:szCs w:val="21"/>
              </w:rPr>
              <w:t>）</w:t>
            </w:r>
          </w:p>
        </w:tc>
      </w:tr>
      <w:tr w:rsidR="002C21F8" w:rsidRPr="00A61B79" w14:paraId="77BF6C93" w14:textId="77777777" w:rsidTr="00A61B79">
        <w:trPr>
          <w:trHeight w:val="429"/>
        </w:trPr>
        <w:tc>
          <w:tcPr>
            <w:tcW w:w="567" w:type="dxa"/>
            <w:vAlign w:val="center"/>
          </w:tcPr>
          <w:p w14:paraId="16D60DC2" w14:textId="1BAF9655" w:rsidR="002C21F8" w:rsidRPr="00A61B79" w:rsidRDefault="002C21F8" w:rsidP="002C21F8">
            <w:pPr>
              <w:jc w:val="center"/>
              <w:rPr>
                <w:rFonts w:asciiTheme="minorEastAsia" w:hAnsiTheme="minorEastAsia"/>
              </w:rPr>
            </w:pPr>
            <w:r w:rsidRPr="00A61B79">
              <w:rPr>
                <w:rFonts w:asciiTheme="minorEastAsia" w:hAnsiTheme="minorEastAsia" w:hint="eastAsia"/>
              </w:rPr>
              <w:t>２</w:t>
            </w:r>
          </w:p>
        </w:tc>
        <w:tc>
          <w:tcPr>
            <w:tcW w:w="9639" w:type="dxa"/>
            <w:vAlign w:val="center"/>
          </w:tcPr>
          <w:p w14:paraId="38DC5541" w14:textId="68657212" w:rsidR="002C21F8" w:rsidRPr="00A61B79" w:rsidRDefault="002C21F8" w:rsidP="007F1CF5">
            <w:pPr>
              <w:rPr>
                <w:rFonts w:asciiTheme="minorEastAsia" w:hAnsiTheme="minorEastAsia"/>
                <w:b/>
                <w:bCs/>
                <w:szCs w:val="21"/>
              </w:rPr>
            </w:pPr>
            <w:r w:rsidRPr="00A61B79">
              <w:rPr>
                <w:rFonts w:asciiTheme="minorEastAsia" w:hAnsiTheme="minorEastAsia" w:hint="eastAsia"/>
                <w:szCs w:val="21"/>
              </w:rPr>
              <w:t>総合チーム医療・安全システム（S</w:t>
            </w:r>
            <w:r w:rsidRPr="00A61B79">
              <w:rPr>
                <w:rFonts w:asciiTheme="minorEastAsia" w:hAnsiTheme="minorEastAsia"/>
                <w:szCs w:val="21"/>
              </w:rPr>
              <w:t>afe master）</w:t>
            </w:r>
            <w:r w:rsidRPr="00A61B79">
              <w:rPr>
                <w:rFonts w:asciiTheme="minorEastAsia" w:hAnsiTheme="minorEastAsia" w:hint="eastAsia"/>
                <w:szCs w:val="21"/>
              </w:rPr>
              <w:t>を用いた外来化学療法業務改善システムの構築</w:t>
            </w:r>
          </w:p>
        </w:tc>
      </w:tr>
      <w:tr w:rsidR="002C21F8" w:rsidRPr="00A61B79" w14:paraId="4ACDFD99" w14:textId="77777777" w:rsidTr="00A61B79">
        <w:trPr>
          <w:trHeight w:val="442"/>
        </w:trPr>
        <w:tc>
          <w:tcPr>
            <w:tcW w:w="567" w:type="dxa"/>
            <w:vAlign w:val="center"/>
          </w:tcPr>
          <w:p w14:paraId="57E8A9EB" w14:textId="3A27056F" w:rsidR="002C21F8" w:rsidRPr="00A61B79" w:rsidRDefault="002C21F8" w:rsidP="002C21F8">
            <w:pPr>
              <w:jc w:val="center"/>
              <w:rPr>
                <w:rFonts w:asciiTheme="minorEastAsia" w:hAnsiTheme="minorEastAsia"/>
              </w:rPr>
            </w:pPr>
            <w:r w:rsidRPr="00A61B79">
              <w:rPr>
                <w:rFonts w:asciiTheme="minorEastAsia" w:hAnsiTheme="minorEastAsia" w:hint="eastAsia"/>
              </w:rPr>
              <w:t>３</w:t>
            </w:r>
          </w:p>
        </w:tc>
        <w:tc>
          <w:tcPr>
            <w:tcW w:w="9639" w:type="dxa"/>
            <w:vAlign w:val="center"/>
          </w:tcPr>
          <w:p w14:paraId="2B1474B5" w14:textId="21447319" w:rsidR="002C21F8" w:rsidRPr="00A61B79" w:rsidRDefault="002C21F8" w:rsidP="00C53B2E">
            <w:pPr>
              <w:rPr>
                <w:rFonts w:asciiTheme="minorEastAsia" w:hAnsiTheme="minorEastAsia"/>
                <w:szCs w:val="21"/>
              </w:rPr>
            </w:pPr>
            <w:r w:rsidRPr="00A61B79">
              <w:rPr>
                <w:rFonts w:asciiTheme="minorEastAsia" w:hAnsiTheme="minorEastAsia" w:hint="eastAsia"/>
                <w:szCs w:val="21"/>
              </w:rPr>
              <w:t>切除不能進行再発大腸癌における後方治療の前向き観察研究</w:t>
            </w:r>
            <w:r w:rsidR="00C53B2E" w:rsidRPr="00A61B79">
              <w:rPr>
                <w:rFonts w:asciiTheme="minorEastAsia" w:hAnsiTheme="minorEastAsia" w:hint="eastAsia"/>
                <w:szCs w:val="21"/>
              </w:rPr>
              <w:t xml:space="preserve">　</w:t>
            </w:r>
            <w:r w:rsidRPr="00A61B79">
              <w:rPr>
                <w:rFonts w:asciiTheme="minorEastAsia" w:hAnsiTheme="minorEastAsia"/>
                <w:szCs w:val="21"/>
              </w:rPr>
              <w:t>(OSERO study)</w:t>
            </w:r>
          </w:p>
        </w:tc>
      </w:tr>
      <w:tr w:rsidR="002C21F8" w:rsidRPr="00A61B79" w14:paraId="5750C8FD" w14:textId="77777777" w:rsidTr="00A61B79">
        <w:trPr>
          <w:trHeight w:val="490"/>
        </w:trPr>
        <w:tc>
          <w:tcPr>
            <w:tcW w:w="567" w:type="dxa"/>
            <w:vAlign w:val="center"/>
          </w:tcPr>
          <w:p w14:paraId="03C9F605" w14:textId="060842E7" w:rsidR="002C21F8" w:rsidRPr="00A61B79" w:rsidRDefault="002C21F8" w:rsidP="002C21F8">
            <w:pPr>
              <w:jc w:val="center"/>
              <w:rPr>
                <w:rFonts w:asciiTheme="minorEastAsia" w:hAnsiTheme="minorEastAsia"/>
              </w:rPr>
            </w:pPr>
            <w:r w:rsidRPr="00A61B79">
              <w:rPr>
                <w:rFonts w:asciiTheme="minorEastAsia" w:hAnsiTheme="minorEastAsia" w:hint="eastAsia"/>
              </w:rPr>
              <w:t>４</w:t>
            </w:r>
          </w:p>
        </w:tc>
        <w:tc>
          <w:tcPr>
            <w:tcW w:w="9639" w:type="dxa"/>
            <w:vAlign w:val="center"/>
          </w:tcPr>
          <w:p w14:paraId="5A7861E7" w14:textId="13CB92C3" w:rsidR="002C21F8" w:rsidRPr="00A61B79" w:rsidRDefault="002C21F8" w:rsidP="007F1CF5">
            <w:pPr>
              <w:rPr>
                <w:rFonts w:asciiTheme="minorEastAsia" w:hAnsiTheme="minorEastAsia"/>
                <w:szCs w:val="21"/>
              </w:rPr>
            </w:pPr>
            <w:r w:rsidRPr="00A61B79">
              <w:rPr>
                <w:rFonts w:asciiTheme="minorEastAsia" w:hAnsiTheme="minorEastAsia" w:hint="eastAsia"/>
                <w:szCs w:val="21"/>
              </w:rPr>
              <w:t>がん遺伝子パネル検査で判明したバリアントの機能解析</w:t>
            </w:r>
          </w:p>
        </w:tc>
      </w:tr>
      <w:tr w:rsidR="00FF7E11" w:rsidRPr="00A61B79" w14:paraId="4B671ADE" w14:textId="77777777" w:rsidTr="00A61B79">
        <w:trPr>
          <w:trHeight w:val="851"/>
        </w:trPr>
        <w:tc>
          <w:tcPr>
            <w:tcW w:w="567" w:type="dxa"/>
            <w:vAlign w:val="center"/>
          </w:tcPr>
          <w:p w14:paraId="1304C223" w14:textId="0752A711" w:rsidR="00FF7E11" w:rsidRPr="00A61B79" w:rsidRDefault="00FF7E11" w:rsidP="002C21F8">
            <w:pPr>
              <w:jc w:val="center"/>
              <w:rPr>
                <w:rFonts w:asciiTheme="minorEastAsia" w:hAnsiTheme="minorEastAsia"/>
              </w:rPr>
            </w:pPr>
            <w:r w:rsidRPr="00A61B79">
              <w:rPr>
                <w:rFonts w:asciiTheme="minorEastAsia" w:hAnsiTheme="minorEastAsia" w:hint="eastAsia"/>
              </w:rPr>
              <w:t>５</w:t>
            </w:r>
          </w:p>
        </w:tc>
        <w:tc>
          <w:tcPr>
            <w:tcW w:w="9639" w:type="dxa"/>
            <w:vAlign w:val="center"/>
          </w:tcPr>
          <w:p w14:paraId="48EE58AD" w14:textId="17659A78" w:rsidR="00FF7E11" w:rsidRPr="00A61B79" w:rsidRDefault="00FF7E11" w:rsidP="007F1CF5">
            <w:pPr>
              <w:tabs>
                <w:tab w:val="left" w:pos="1150"/>
              </w:tabs>
              <w:rPr>
                <w:rFonts w:asciiTheme="minorEastAsia" w:hAnsiTheme="minorEastAsia"/>
                <w:szCs w:val="21"/>
              </w:rPr>
            </w:pPr>
            <w:r w:rsidRPr="00A61B79">
              <w:rPr>
                <w:rFonts w:asciiTheme="minorEastAsia" w:hAnsiTheme="minorEastAsia"/>
                <w:szCs w:val="21"/>
              </w:rPr>
              <w:t>WJOG13320GPS</w:t>
            </w:r>
          </w:p>
          <w:p w14:paraId="38987256" w14:textId="7033A809" w:rsidR="00FF7E11" w:rsidRPr="00A61B79" w:rsidRDefault="00FF7E11" w:rsidP="007F1CF5">
            <w:pPr>
              <w:tabs>
                <w:tab w:val="left" w:pos="1150"/>
              </w:tabs>
              <w:rPr>
                <w:rFonts w:asciiTheme="minorEastAsia" w:hAnsiTheme="minorEastAsia"/>
                <w:szCs w:val="21"/>
              </w:rPr>
            </w:pPr>
            <w:r w:rsidRPr="00A61B79">
              <w:rPr>
                <w:rFonts w:asciiTheme="minorEastAsia" w:hAnsiTheme="minorEastAsia"/>
                <w:szCs w:val="21"/>
              </w:rPr>
              <w:t>未治療切除不能進行・再発胃癌に対するマイクロサテライト不安定性を評価</w:t>
            </w:r>
            <w:r w:rsidRPr="00A61B79">
              <w:rPr>
                <w:rFonts w:asciiTheme="minorEastAsia" w:hAnsiTheme="minorEastAsia" w:hint="eastAsia"/>
                <w:szCs w:val="21"/>
              </w:rPr>
              <w:t>する観察研究</w:t>
            </w:r>
          </w:p>
        </w:tc>
      </w:tr>
      <w:tr w:rsidR="00C53B2E" w:rsidRPr="00A61B79" w14:paraId="370CA4D2" w14:textId="77777777" w:rsidTr="00A61B79">
        <w:trPr>
          <w:trHeight w:val="528"/>
        </w:trPr>
        <w:tc>
          <w:tcPr>
            <w:tcW w:w="567" w:type="dxa"/>
          </w:tcPr>
          <w:p w14:paraId="44C24116" w14:textId="61F86E87" w:rsidR="00C53B2E" w:rsidRPr="00A61B79" w:rsidRDefault="00CD69B1" w:rsidP="00A61B79">
            <w:pPr>
              <w:spacing w:line="360" w:lineRule="auto"/>
              <w:jc w:val="center"/>
              <w:rPr>
                <w:rFonts w:asciiTheme="minorEastAsia" w:hAnsiTheme="minorEastAsia"/>
              </w:rPr>
            </w:pPr>
            <w:r>
              <w:rPr>
                <w:rFonts w:asciiTheme="minorEastAsia" w:hAnsiTheme="minorEastAsia"/>
              </w:rPr>
              <w:t>6</w:t>
            </w:r>
          </w:p>
        </w:tc>
        <w:tc>
          <w:tcPr>
            <w:tcW w:w="9639" w:type="dxa"/>
          </w:tcPr>
          <w:p w14:paraId="39E23B60" w14:textId="58CBD189" w:rsidR="00C53B2E" w:rsidRPr="00A61B79" w:rsidRDefault="00C53B2E" w:rsidP="0045593B">
            <w:pPr>
              <w:tabs>
                <w:tab w:val="left" w:pos="1150"/>
              </w:tabs>
              <w:spacing w:line="360" w:lineRule="auto"/>
              <w:jc w:val="left"/>
              <w:rPr>
                <w:rFonts w:asciiTheme="minorEastAsia" w:hAnsiTheme="minorEastAsia"/>
                <w:szCs w:val="21"/>
              </w:rPr>
            </w:pPr>
            <w:r w:rsidRPr="00A61B79">
              <w:rPr>
                <w:rFonts w:asciiTheme="minorEastAsia" w:hAnsiTheme="minorEastAsia"/>
                <w:szCs w:val="21"/>
              </w:rPr>
              <w:t>根治的外科治療可能の結腸・直腸癌を対象とした レジストリ研究 （GALAXY trial）</w:t>
            </w:r>
          </w:p>
        </w:tc>
      </w:tr>
      <w:tr w:rsidR="00C53B2E" w:rsidRPr="00A61B79" w14:paraId="43589A19" w14:textId="77777777" w:rsidTr="00A61B79">
        <w:trPr>
          <w:trHeight w:val="975"/>
        </w:trPr>
        <w:tc>
          <w:tcPr>
            <w:tcW w:w="567" w:type="dxa"/>
          </w:tcPr>
          <w:p w14:paraId="2D28F6D4" w14:textId="77777777" w:rsidR="00C53B2E" w:rsidRPr="00A61B79" w:rsidRDefault="00C53B2E" w:rsidP="00C7010F">
            <w:pPr>
              <w:jc w:val="center"/>
              <w:rPr>
                <w:rFonts w:asciiTheme="minorEastAsia" w:hAnsiTheme="minorEastAsia"/>
              </w:rPr>
            </w:pPr>
          </w:p>
          <w:p w14:paraId="7B1BE90C" w14:textId="47D9817A" w:rsidR="00C53B2E" w:rsidRPr="00A61B79" w:rsidRDefault="00CD69B1" w:rsidP="00C53B2E">
            <w:pPr>
              <w:jc w:val="center"/>
              <w:rPr>
                <w:rFonts w:asciiTheme="minorEastAsia" w:hAnsiTheme="minorEastAsia"/>
              </w:rPr>
            </w:pPr>
            <w:r>
              <w:rPr>
                <w:rFonts w:asciiTheme="minorEastAsia" w:hAnsiTheme="minorEastAsia" w:hint="eastAsia"/>
              </w:rPr>
              <w:t>7</w:t>
            </w:r>
          </w:p>
        </w:tc>
        <w:tc>
          <w:tcPr>
            <w:tcW w:w="9639" w:type="dxa"/>
          </w:tcPr>
          <w:p w14:paraId="3BFBBB98" w14:textId="1E0FC586" w:rsidR="00C53B2E" w:rsidRPr="00A61B79" w:rsidRDefault="00C53B2E" w:rsidP="00C7010F">
            <w:pPr>
              <w:tabs>
                <w:tab w:val="left" w:pos="1150"/>
              </w:tabs>
              <w:rPr>
                <w:rFonts w:asciiTheme="minorEastAsia" w:hAnsiTheme="minorEastAsia"/>
                <w:szCs w:val="21"/>
              </w:rPr>
            </w:pPr>
            <w:r w:rsidRPr="00A61B79">
              <w:rPr>
                <w:rFonts w:asciiTheme="minorEastAsia" w:hAnsiTheme="minorEastAsia"/>
                <w:szCs w:val="21"/>
              </w:rPr>
              <w:t>血液循環腫瘍 DNA 陰性の高リスク Stage II 及び低リスク Stage III 結腸癌治癒切除例 に対する術後補助化学療法としての CAPOX 療法と手術単独 を比較するランダム化第 III 相比較試験 （VEGA trial）</w:t>
            </w:r>
          </w:p>
        </w:tc>
      </w:tr>
      <w:tr w:rsidR="00C53B2E" w:rsidRPr="00A61B79" w14:paraId="2728AF64" w14:textId="77777777" w:rsidTr="00CD69B1">
        <w:trPr>
          <w:trHeight w:val="797"/>
        </w:trPr>
        <w:tc>
          <w:tcPr>
            <w:tcW w:w="567" w:type="dxa"/>
          </w:tcPr>
          <w:p w14:paraId="7C03715C" w14:textId="540C7B90" w:rsidR="00C53B2E" w:rsidRDefault="00CD69B1" w:rsidP="00A61B79">
            <w:pPr>
              <w:spacing w:before="240"/>
              <w:jc w:val="center"/>
              <w:rPr>
                <w:rFonts w:asciiTheme="minorEastAsia" w:hAnsiTheme="minorEastAsia"/>
              </w:rPr>
            </w:pPr>
            <w:r>
              <w:rPr>
                <w:rFonts w:asciiTheme="minorEastAsia" w:hAnsiTheme="minorEastAsia"/>
              </w:rPr>
              <w:t>8</w:t>
            </w:r>
          </w:p>
          <w:p w14:paraId="391C8FCB" w14:textId="405E482B" w:rsidR="00A61B79" w:rsidRPr="00A61B79" w:rsidRDefault="00A61B79" w:rsidP="00A61B79">
            <w:pPr>
              <w:rPr>
                <w:rFonts w:asciiTheme="minorEastAsia" w:hAnsiTheme="minorEastAsia"/>
              </w:rPr>
            </w:pPr>
          </w:p>
        </w:tc>
        <w:tc>
          <w:tcPr>
            <w:tcW w:w="9639" w:type="dxa"/>
          </w:tcPr>
          <w:p w14:paraId="01C2BF11" w14:textId="6E0FBB73" w:rsidR="00C53B2E" w:rsidRPr="00A61B79" w:rsidRDefault="00A61B79" w:rsidP="00CD69B1">
            <w:pPr>
              <w:tabs>
                <w:tab w:val="left" w:pos="1150"/>
              </w:tabs>
              <w:rPr>
                <w:rFonts w:asciiTheme="minorEastAsia" w:hAnsiTheme="minorEastAsia"/>
                <w:szCs w:val="21"/>
              </w:rPr>
            </w:pPr>
            <w:r w:rsidRPr="00A61B79">
              <w:rPr>
                <w:rFonts w:asciiTheme="minorEastAsia" w:hAnsiTheme="minorEastAsia" w:cs="Arial"/>
                <w:i/>
                <w:iCs/>
                <w:color w:val="000000"/>
                <w:szCs w:val="21"/>
              </w:rPr>
              <w:t>RAS</w:t>
            </w:r>
            <w:r w:rsidRPr="00A61B79">
              <w:rPr>
                <w:rFonts w:asciiTheme="minorEastAsia" w:hAnsiTheme="minorEastAsia" w:hint="eastAsia"/>
                <w:color w:val="000000"/>
                <w:szCs w:val="21"/>
              </w:rPr>
              <w:t>遺伝子変異型腫瘍を有する切除不能進行・再発大腸癌患者における化学療法後の血液中</w:t>
            </w:r>
            <w:r w:rsidRPr="00A61B79">
              <w:rPr>
                <w:rFonts w:asciiTheme="minorEastAsia" w:hAnsiTheme="minorEastAsia" w:cs="Arial"/>
                <w:color w:val="000000"/>
                <w:szCs w:val="21"/>
              </w:rPr>
              <w:t>RAS</w:t>
            </w:r>
            <w:r w:rsidRPr="00A61B79">
              <w:rPr>
                <w:rFonts w:asciiTheme="minorEastAsia" w:hAnsiTheme="minorEastAsia" w:hint="eastAsia"/>
                <w:color w:val="000000"/>
                <w:szCs w:val="21"/>
              </w:rPr>
              <w:t>遺伝子変異を評価する観察研究（</w:t>
            </w:r>
            <w:r w:rsidRPr="00A61B79">
              <w:rPr>
                <w:rFonts w:asciiTheme="minorEastAsia" w:hAnsiTheme="minorEastAsia" w:cs="Arial"/>
                <w:color w:val="000000"/>
                <w:szCs w:val="21"/>
              </w:rPr>
              <w:t>JACCRO CC-17</w:t>
            </w:r>
            <w:r w:rsidRPr="00A61B79">
              <w:rPr>
                <w:rFonts w:asciiTheme="minorEastAsia" w:hAnsiTheme="minorEastAsia" w:hint="eastAsia"/>
                <w:color w:val="000000"/>
                <w:szCs w:val="21"/>
              </w:rPr>
              <w:t>）</w:t>
            </w:r>
          </w:p>
        </w:tc>
      </w:tr>
      <w:tr w:rsidR="00C53B2E" w:rsidRPr="00A61B79" w14:paraId="67924B46" w14:textId="77777777" w:rsidTr="00A61B79">
        <w:trPr>
          <w:trHeight w:val="1204"/>
        </w:trPr>
        <w:tc>
          <w:tcPr>
            <w:tcW w:w="567" w:type="dxa"/>
          </w:tcPr>
          <w:p w14:paraId="25CED1E0" w14:textId="77777777" w:rsidR="00C53B2E" w:rsidRPr="00A61B79" w:rsidRDefault="00C53B2E" w:rsidP="00C7010F">
            <w:pPr>
              <w:jc w:val="center"/>
              <w:rPr>
                <w:rFonts w:asciiTheme="minorEastAsia" w:hAnsiTheme="minorEastAsia"/>
              </w:rPr>
            </w:pPr>
          </w:p>
          <w:p w14:paraId="5EDD5C5B" w14:textId="0CEBAE30" w:rsidR="00C53B2E" w:rsidRPr="00A61B79" w:rsidRDefault="00CD69B1" w:rsidP="00C53B2E">
            <w:pPr>
              <w:jc w:val="center"/>
              <w:rPr>
                <w:rFonts w:asciiTheme="minorEastAsia" w:hAnsiTheme="minorEastAsia"/>
              </w:rPr>
            </w:pPr>
            <w:r>
              <w:rPr>
                <w:rFonts w:asciiTheme="minorEastAsia" w:hAnsiTheme="minorEastAsia" w:cs="Segoe UI Symbol" w:hint="eastAsia"/>
              </w:rPr>
              <w:t>9</w:t>
            </w:r>
          </w:p>
        </w:tc>
        <w:tc>
          <w:tcPr>
            <w:tcW w:w="9639" w:type="dxa"/>
          </w:tcPr>
          <w:p w14:paraId="1D6959F0" w14:textId="77777777" w:rsidR="00A61B79" w:rsidRPr="00A61B79" w:rsidRDefault="00A61B79" w:rsidP="00C7010F">
            <w:pPr>
              <w:tabs>
                <w:tab w:val="left" w:pos="1150"/>
              </w:tabs>
              <w:rPr>
                <w:rFonts w:asciiTheme="minorEastAsia" w:hAnsiTheme="minorEastAsia"/>
                <w:color w:val="000000"/>
                <w:szCs w:val="21"/>
              </w:rPr>
            </w:pPr>
            <w:r w:rsidRPr="00A61B79">
              <w:rPr>
                <w:rFonts w:asciiTheme="minorEastAsia" w:hAnsiTheme="minorEastAsia" w:hint="eastAsia"/>
                <w:color w:val="000000"/>
                <w:szCs w:val="21"/>
              </w:rPr>
              <w:t>WJOG14520G</w:t>
            </w:r>
          </w:p>
          <w:p w14:paraId="70CF9BA0" w14:textId="6DAC062E" w:rsidR="00C53B2E" w:rsidRPr="00A61B79" w:rsidRDefault="00A61B79" w:rsidP="00C7010F">
            <w:pPr>
              <w:tabs>
                <w:tab w:val="left" w:pos="1150"/>
              </w:tabs>
              <w:rPr>
                <w:rFonts w:asciiTheme="minorEastAsia" w:hAnsiTheme="minorEastAsia"/>
                <w:szCs w:val="21"/>
              </w:rPr>
            </w:pPr>
            <w:r w:rsidRPr="00A61B79">
              <w:rPr>
                <w:rFonts w:asciiTheme="minorEastAsia" w:hAnsiTheme="minorEastAsia" w:hint="eastAsia"/>
                <w:color w:val="000000"/>
                <w:szCs w:val="21"/>
              </w:rPr>
              <w:t>前治療歴を有するvulnerable大腸がんに対するトリフルリジン・チピラシル塩酸塩（FTD/TPI）＋ベバシズマブ（BEV）の有効性と安全性を探索する後方視的観察研究</w:t>
            </w:r>
          </w:p>
        </w:tc>
      </w:tr>
    </w:tbl>
    <w:p w14:paraId="26920F82" w14:textId="0287AC69" w:rsidR="009D3CB0" w:rsidRPr="00C53B2E" w:rsidRDefault="009D3CB0" w:rsidP="00FF7E11">
      <w:pPr>
        <w:rPr>
          <w:color w:val="FF0000"/>
        </w:rPr>
      </w:pPr>
    </w:p>
    <w:sectPr w:rsidR="009D3CB0" w:rsidRPr="00C53B2E" w:rsidSect="007F1C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F466" w14:textId="77777777" w:rsidR="002C40F0" w:rsidRDefault="002C40F0" w:rsidP="007F1CF5">
      <w:r>
        <w:separator/>
      </w:r>
    </w:p>
  </w:endnote>
  <w:endnote w:type="continuationSeparator" w:id="0">
    <w:p w14:paraId="33525841" w14:textId="77777777" w:rsidR="002C40F0" w:rsidRDefault="002C40F0" w:rsidP="007F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B191F" w14:textId="77777777" w:rsidR="002C40F0" w:rsidRDefault="002C40F0" w:rsidP="007F1CF5">
      <w:r>
        <w:separator/>
      </w:r>
    </w:p>
  </w:footnote>
  <w:footnote w:type="continuationSeparator" w:id="0">
    <w:p w14:paraId="4C282763" w14:textId="77777777" w:rsidR="002C40F0" w:rsidRDefault="002C40F0" w:rsidP="007F1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B4E"/>
    <w:rsid w:val="00057050"/>
    <w:rsid w:val="000751B8"/>
    <w:rsid w:val="00093977"/>
    <w:rsid w:val="002C21F8"/>
    <w:rsid w:val="002C40F0"/>
    <w:rsid w:val="0045593B"/>
    <w:rsid w:val="00473D00"/>
    <w:rsid w:val="007E3B4E"/>
    <w:rsid w:val="007F1CF5"/>
    <w:rsid w:val="00833AEC"/>
    <w:rsid w:val="009D3CB0"/>
    <w:rsid w:val="00A61B79"/>
    <w:rsid w:val="00AB427C"/>
    <w:rsid w:val="00AF51C5"/>
    <w:rsid w:val="00C53B2E"/>
    <w:rsid w:val="00CD69B1"/>
    <w:rsid w:val="00E4548C"/>
    <w:rsid w:val="00E95070"/>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31C15"/>
  <w15:chartTrackingRefBased/>
  <w15:docId w15:val="{340D7F79-2839-4825-A2AD-FBE5EBDF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1CF5"/>
    <w:pPr>
      <w:tabs>
        <w:tab w:val="center" w:pos="4252"/>
        <w:tab w:val="right" w:pos="8504"/>
      </w:tabs>
      <w:snapToGrid w:val="0"/>
    </w:pPr>
  </w:style>
  <w:style w:type="character" w:customStyle="1" w:styleId="a5">
    <w:name w:val="ヘッダー (文字)"/>
    <w:basedOn w:val="a0"/>
    <w:link w:val="a4"/>
    <w:uiPriority w:val="99"/>
    <w:rsid w:val="007F1CF5"/>
  </w:style>
  <w:style w:type="paragraph" w:styleId="a6">
    <w:name w:val="footer"/>
    <w:basedOn w:val="a"/>
    <w:link w:val="a7"/>
    <w:uiPriority w:val="99"/>
    <w:unhideWhenUsed/>
    <w:rsid w:val="007F1CF5"/>
    <w:pPr>
      <w:tabs>
        <w:tab w:val="center" w:pos="4252"/>
        <w:tab w:val="right" w:pos="8504"/>
      </w:tabs>
      <w:snapToGrid w:val="0"/>
    </w:pPr>
  </w:style>
  <w:style w:type="character" w:customStyle="1" w:styleId="a7">
    <w:name w:val="フッター (文字)"/>
    <w:basedOn w:val="a0"/>
    <w:link w:val="a6"/>
    <w:uiPriority w:val="99"/>
    <w:rsid w:val="007F1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4FC17-DE8E-43DA-9972-B2DA0A76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臨床試験推進部１</dc:creator>
  <cp:keywords/>
  <dc:description/>
  <cp:lastModifiedBy>臨床試験推進部</cp:lastModifiedBy>
  <cp:revision>2</cp:revision>
  <cp:lastPrinted>2021-03-17T00:15:00Z</cp:lastPrinted>
  <dcterms:created xsi:type="dcterms:W3CDTF">2021-09-14T02:17:00Z</dcterms:created>
  <dcterms:modified xsi:type="dcterms:W3CDTF">2021-09-14T02:17:00Z</dcterms:modified>
</cp:coreProperties>
</file>